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4438328B" w:rsidR="00FD6CED" w:rsidRPr="00D212BF" w:rsidRDefault="00091048">
      <w:pPr>
        <w:rPr>
          <w:rFonts w:ascii="Cormorant Garamond" w:eastAsia="Cormorant Garamond" w:hAnsi="Cormorant Garamond" w:cs="Cormorant Garamond"/>
          <w:b/>
          <w:bCs/>
        </w:rPr>
      </w:pPr>
      <w:r w:rsidRPr="00D212BF">
        <w:rPr>
          <w:rFonts w:ascii="Cormorant Garamond" w:eastAsia="Cormorant Garamond" w:hAnsi="Cormorant Garamond" w:cs="Cormorant Garamond"/>
          <w:b/>
          <w:bCs/>
        </w:rPr>
        <w:t>17th December 2025</w:t>
      </w:r>
    </w:p>
    <w:p w14:paraId="00000002" w14:textId="77777777" w:rsidR="00FD6CED" w:rsidRDefault="00FD6CED">
      <w:pPr>
        <w:rPr>
          <w:rFonts w:ascii="Cormorant Garamond" w:eastAsia="Cormorant Garamond" w:hAnsi="Cormorant Garamond" w:cs="Cormorant Garamond"/>
          <w:b/>
          <w:bCs/>
          <w:color w:val="EE0000"/>
        </w:rPr>
      </w:pPr>
    </w:p>
    <w:p w14:paraId="00000003" w14:textId="77777777" w:rsidR="00FD6CED" w:rsidRDefault="00091048">
      <w:pPr>
        <w:jc w:val="center"/>
        <w:rPr>
          <w:rFonts w:ascii="Cormorant Garamond" w:eastAsia="Cormorant Garamond" w:hAnsi="Cormorant Garamond" w:cs="Cormorant Garamond"/>
          <w:b/>
          <w:bCs/>
        </w:rPr>
      </w:pPr>
      <w:r>
        <w:rPr>
          <w:rFonts w:ascii="Cormorant Garamond" w:eastAsia="Cormorant Garamond" w:hAnsi="Cormorant Garamond" w:cs="Cormorant Garamond"/>
          <w:b/>
          <w:bCs/>
        </w:rPr>
        <w:t xml:space="preserve">New research reveals major gaps in disclosure of decommissioning liabilities </w:t>
      </w:r>
    </w:p>
    <w:p w14:paraId="00000004" w14:textId="77777777" w:rsidR="00FD6CED" w:rsidRDefault="00091048">
      <w:pPr>
        <w:jc w:val="center"/>
        <w:rPr>
          <w:rFonts w:ascii="Cormorant Garamond" w:eastAsia="Cormorant Garamond" w:hAnsi="Cormorant Garamond" w:cs="Cormorant Garamond"/>
          <w:b/>
          <w:bCs/>
        </w:rPr>
      </w:pPr>
      <w:r>
        <w:rPr>
          <w:rFonts w:ascii="Cormorant Garamond" w:eastAsia="Cormorant Garamond" w:hAnsi="Cormorant Garamond" w:cs="Cormorant Garamond"/>
          <w:b/>
          <w:bCs/>
        </w:rPr>
        <w:t>for oil and gas infrastructure</w:t>
      </w:r>
    </w:p>
    <w:p w14:paraId="00000005" w14:textId="77777777" w:rsidR="00FD6CED" w:rsidRDefault="00FD6CED">
      <w:pPr>
        <w:jc w:val="center"/>
        <w:rPr>
          <w:rFonts w:ascii="Cormorant Garamond" w:eastAsia="Cormorant Garamond" w:hAnsi="Cormorant Garamond" w:cs="Cormorant Garamond"/>
        </w:rPr>
      </w:pPr>
    </w:p>
    <w:p w14:paraId="00000006" w14:textId="22AC5DB3" w:rsidR="00FD6CED" w:rsidRDefault="24A0455D">
      <w:pPr>
        <w:rPr>
          <w:rFonts w:ascii="Cormorant Garamond" w:eastAsia="Cormorant Garamond" w:hAnsi="Cormorant Garamond" w:cs="Cormorant Garamond"/>
        </w:rPr>
      </w:pPr>
      <w:r w:rsidRPr="63DA54CE">
        <w:rPr>
          <w:rFonts w:ascii="Cormorant Garamond" w:eastAsia="Cormorant Garamond" w:hAnsi="Cormorant Garamond" w:cs="Cormorant Garamond"/>
        </w:rPr>
        <w:t xml:space="preserve">Oil and gas companies in the UK, Canada and Australia are failing to fully disclose the </w:t>
      </w:r>
      <w:r w:rsidR="00B95D93">
        <w:rPr>
          <w:rFonts w:ascii="Cormorant Garamond" w:eastAsia="Cormorant Garamond" w:hAnsi="Cormorant Garamond" w:cs="Cormorant Garamond"/>
        </w:rPr>
        <w:t xml:space="preserve">estimated </w:t>
      </w:r>
      <w:r w:rsidRPr="63DA54CE">
        <w:rPr>
          <w:rFonts w:ascii="Cormorant Garamond" w:eastAsia="Cormorant Garamond" w:hAnsi="Cormorant Garamond" w:cs="Cormorant Garamond"/>
        </w:rPr>
        <w:t>costs</w:t>
      </w:r>
      <w:r w:rsidR="009A2B62">
        <w:rPr>
          <w:rFonts w:ascii="Cormorant Garamond" w:eastAsia="Cormorant Garamond" w:hAnsi="Cormorant Garamond" w:cs="Cormorant Garamond"/>
        </w:rPr>
        <w:t xml:space="preserve"> and </w:t>
      </w:r>
      <w:r w:rsidR="00CE3363">
        <w:rPr>
          <w:rFonts w:ascii="Cormorant Garamond" w:eastAsia="Cormorant Garamond" w:hAnsi="Cormorant Garamond" w:cs="Cormorant Garamond"/>
        </w:rPr>
        <w:t>timing about</w:t>
      </w:r>
      <w:r w:rsidR="00B95D93">
        <w:rPr>
          <w:rFonts w:ascii="Cormorant Garamond" w:eastAsia="Cormorant Garamond" w:hAnsi="Cormorant Garamond" w:cs="Cormorant Garamond"/>
        </w:rPr>
        <w:t xml:space="preserve"> </w:t>
      </w:r>
      <w:r w:rsidR="00CE3363">
        <w:rPr>
          <w:rFonts w:ascii="Cormorant Garamond" w:eastAsia="Cormorant Garamond" w:hAnsi="Cormorant Garamond" w:cs="Cormorant Garamond"/>
        </w:rPr>
        <w:t>obligations to</w:t>
      </w:r>
      <w:r w:rsidRPr="63DA54CE">
        <w:rPr>
          <w:rFonts w:ascii="Cormorant Garamond" w:eastAsia="Cormorant Garamond" w:hAnsi="Cormorant Garamond" w:cs="Cormorant Garamond"/>
        </w:rPr>
        <w:t xml:space="preserve"> decommission their fossil-fuel-related infrastructure, leaving investors with incomplete and non-comparable information. The report </w:t>
      </w:r>
      <w:r w:rsidRPr="63DA54CE">
        <w:rPr>
          <w:rFonts w:ascii="Cormorant Garamond" w:eastAsia="Cormorant Garamond" w:hAnsi="Cormorant Garamond" w:cs="Cormorant Garamond"/>
          <w:i/>
          <w:iCs/>
          <w:highlight w:val="white"/>
        </w:rPr>
        <w:t xml:space="preserve">Asset Retirement Obligations: What Lies Beneath? </w:t>
      </w:r>
      <w:r w:rsidRPr="63DA54CE">
        <w:rPr>
          <w:rFonts w:ascii="Cormorant Garamond" w:eastAsia="Cormorant Garamond" w:hAnsi="Cormorant Garamond" w:cs="Cormorant Garamond"/>
        </w:rPr>
        <w:t xml:space="preserve">from financial think tank Carbon Tracker finds that the quality and completeness of reporting of this information varies significantly, despite companies in all three jurisdictions using the same international accounting standards.   </w:t>
      </w:r>
    </w:p>
    <w:p w14:paraId="00000007" w14:textId="77777777" w:rsidR="00FD6CED" w:rsidRDefault="00FD6CED">
      <w:pPr>
        <w:rPr>
          <w:rFonts w:ascii="Cormorant Garamond" w:eastAsia="Cormorant Garamond" w:hAnsi="Cormorant Garamond" w:cs="Cormorant Garamond"/>
        </w:rPr>
      </w:pPr>
    </w:p>
    <w:p w14:paraId="00000008" w14:textId="2E5A14E4" w:rsidR="00FD6CED" w:rsidRDefault="00091048">
      <w:pPr>
        <w:rPr>
          <w:rFonts w:ascii="Cormorant Garamond" w:eastAsia="Cormorant Garamond" w:hAnsi="Cormorant Garamond" w:cs="Cormorant Garamond"/>
        </w:rPr>
      </w:pPr>
      <w:r w:rsidRPr="63DA54CE">
        <w:rPr>
          <w:rFonts w:ascii="Cormorant Garamond" w:eastAsia="Cormorant Garamond" w:hAnsi="Cormorant Garamond" w:cs="Cormorant Garamond"/>
        </w:rPr>
        <w:t xml:space="preserve">Carbon Tracker assessed 38 oil and gas companies’ financial statement disclosures </w:t>
      </w:r>
      <w:r w:rsidR="00B95D93">
        <w:rPr>
          <w:rFonts w:ascii="Cormorant Garamond" w:eastAsia="Cormorant Garamond" w:hAnsi="Cormorant Garamond" w:cs="Cormorant Garamond"/>
        </w:rPr>
        <w:t>about</w:t>
      </w:r>
      <w:r w:rsidRPr="63DA54CE">
        <w:rPr>
          <w:rFonts w:ascii="Cormorant Garamond" w:eastAsia="Cormorant Garamond" w:hAnsi="Cormorant Garamond" w:cs="Cormorant Garamond"/>
        </w:rPr>
        <w:t xml:space="preserve"> asset retirement obligations (AROs) – related to </w:t>
      </w:r>
      <w:r w:rsidRPr="63DA54CE">
        <w:rPr>
          <w:rFonts w:ascii="Cormorant Garamond" w:eastAsia="Cormorant Garamond" w:hAnsi="Cormorant Garamond" w:cs="Cormorant Garamond"/>
          <w:color w:val="0A0A0A"/>
          <w:highlight w:val="white"/>
        </w:rPr>
        <w:t>future decommissioning and cleanup costs – using 15 disclosure metrics. Information for every metric</w:t>
      </w:r>
      <w:r w:rsidR="00B95D93">
        <w:rPr>
          <w:rFonts w:ascii="Cormorant Garamond" w:eastAsia="Cormorant Garamond" w:hAnsi="Cormorant Garamond" w:cs="Cormorant Garamond"/>
          <w:color w:val="0A0A0A"/>
          <w:highlight w:val="white"/>
        </w:rPr>
        <w:t>, which are grounded in existing accounting requirements,</w:t>
      </w:r>
      <w:r w:rsidRPr="63DA54CE">
        <w:rPr>
          <w:rFonts w:ascii="Cormorant Garamond" w:eastAsia="Cormorant Garamond" w:hAnsi="Cormorant Garamond" w:cs="Cormorant Garamond"/>
          <w:color w:val="0A0A0A"/>
          <w:highlight w:val="white"/>
        </w:rPr>
        <w:t xml:space="preserve"> was provided by at least one company, showing that this disclosure is realistic and achievable. Despite this, t</w:t>
      </w:r>
      <w:r w:rsidRPr="63DA54CE">
        <w:rPr>
          <w:rFonts w:ascii="Cormorant Garamond" w:eastAsia="Cormorant Garamond" w:hAnsi="Cormorant Garamond" w:cs="Cormorant Garamond"/>
        </w:rPr>
        <w:t xml:space="preserve">he findings reveal substantial gaps: the UK oil and gas companies disclosed, on average, 45% of the relevant information required to assess the full extent of </w:t>
      </w:r>
      <w:proofErr w:type="gramStart"/>
      <w:r w:rsidRPr="63DA54CE">
        <w:rPr>
          <w:rFonts w:ascii="Cormorant Garamond" w:eastAsia="Cormorant Garamond" w:hAnsi="Cormorant Garamond" w:cs="Cormorant Garamond"/>
        </w:rPr>
        <w:t>ARO</w:t>
      </w:r>
      <w:r w:rsidR="00C1104C">
        <w:rPr>
          <w:rFonts w:ascii="Cormorant Garamond" w:eastAsia="Cormorant Garamond" w:hAnsi="Cormorant Garamond" w:cs="Cormorant Garamond"/>
        </w:rPr>
        <w:t>s</w:t>
      </w:r>
      <w:r w:rsidRPr="63DA54CE">
        <w:rPr>
          <w:rFonts w:ascii="Cormorant Garamond" w:eastAsia="Cormorant Garamond" w:hAnsi="Cormorant Garamond" w:cs="Cormorant Garamond"/>
        </w:rPr>
        <w:t xml:space="preserve"> ,</w:t>
      </w:r>
      <w:proofErr w:type="gramEnd"/>
      <w:r w:rsidRPr="63DA54CE">
        <w:rPr>
          <w:rFonts w:ascii="Cormorant Garamond" w:eastAsia="Cormorant Garamond" w:hAnsi="Cormorant Garamond" w:cs="Cormorant Garamond"/>
        </w:rPr>
        <w:t xml:space="preserve"> Canadian companies 42%, and Australian companies, just 19%. The report points to a potential correlation between more observable regulatory activity in the UK and Canada (compared with</w:t>
      </w:r>
      <w:r w:rsidR="008A74FE" w:rsidRPr="63DA54CE">
        <w:rPr>
          <w:rFonts w:ascii="Cormorant Garamond" w:eastAsia="Cormorant Garamond" w:hAnsi="Cormorant Garamond" w:cs="Cormorant Garamond"/>
        </w:rPr>
        <w:t xml:space="preserve"> </w:t>
      </w:r>
      <w:r w:rsidRPr="63DA54CE">
        <w:rPr>
          <w:rFonts w:ascii="Cormorant Garamond" w:eastAsia="Cormorant Garamond" w:hAnsi="Cormorant Garamond" w:cs="Cormorant Garamond"/>
        </w:rPr>
        <w:t>Australia), and the quality of disclosure. It recommends that financial market regulators include a focus on financial statement transparency about AROs in their oversight and supervisory priorities for the coming year.</w:t>
      </w:r>
    </w:p>
    <w:p w14:paraId="00000009" w14:textId="77777777" w:rsidR="00FD6CED" w:rsidRDefault="00FD6CED">
      <w:pPr>
        <w:rPr>
          <w:rFonts w:ascii="Cormorant Garamond" w:eastAsia="Cormorant Garamond" w:hAnsi="Cormorant Garamond" w:cs="Cormorant Garamond"/>
        </w:rPr>
      </w:pPr>
    </w:p>
    <w:p w14:paraId="0000000A" w14:textId="50E04020" w:rsidR="00FD6CED" w:rsidRDefault="00091048" w:rsidP="63DA54CE">
      <w:pPr>
        <w:rPr>
          <w:rFonts w:ascii="Cormorant Garamond" w:eastAsia="Cormorant Garamond" w:hAnsi="Cormorant Garamond" w:cs="Cormorant Garamond"/>
        </w:rPr>
      </w:pPr>
      <w:r w:rsidRPr="63DA54CE">
        <w:rPr>
          <w:rFonts w:ascii="Cormorant Garamond" w:eastAsia="Cormorant Garamond" w:hAnsi="Cormorant Garamond" w:cs="Cormorant Garamond"/>
        </w:rPr>
        <w:t>The report follows the publication of new guidance in November 2025 by the International Accounting Standards Board (IASB), which sets International Financial Reporting Standards (IFRS). The IASB’s guidance</w:t>
      </w:r>
      <w:r w:rsidR="00C1104C">
        <w:rPr>
          <w:rFonts w:ascii="Cormorant Garamond" w:eastAsia="Cormorant Garamond" w:hAnsi="Cormorant Garamond" w:cs="Cormorant Garamond"/>
          <w:i/>
          <w:iCs/>
        </w:rPr>
        <w:t xml:space="preserve"> </w:t>
      </w:r>
      <w:r w:rsidRPr="63DA54CE">
        <w:rPr>
          <w:rFonts w:ascii="Cormorant Garamond" w:eastAsia="Cormorant Garamond" w:hAnsi="Cormorant Garamond" w:cs="Cormorant Garamond"/>
        </w:rPr>
        <w:t xml:space="preserve">clarifies how to disclose uncertainties in financial statements. For oil and gas companies, this relates to reporting information about decommissioning and clean-up </w:t>
      </w:r>
      <w:r w:rsidR="00C1104C">
        <w:rPr>
          <w:rFonts w:ascii="Cormorant Garamond" w:eastAsia="Cormorant Garamond" w:hAnsi="Cormorant Garamond" w:cs="Cormorant Garamond"/>
        </w:rPr>
        <w:t xml:space="preserve">obligations (and related </w:t>
      </w:r>
      <w:r w:rsidRPr="63DA54CE">
        <w:rPr>
          <w:rFonts w:ascii="Cormorant Garamond" w:eastAsia="Cormorant Garamond" w:hAnsi="Cormorant Garamond" w:cs="Cormorant Garamond"/>
        </w:rPr>
        <w:t>liabilities</w:t>
      </w:r>
      <w:r w:rsidR="00C1104C">
        <w:rPr>
          <w:rFonts w:ascii="Cormorant Garamond" w:eastAsia="Cormorant Garamond" w:hAnsi="Cormorant Garamond" w:cs="Cormorant Garamond"/>
        </w:rPr>
        <w:t>)</w:t>
      </w:r>
      <w:r w:rsidRPr="63DA54CE">
        <w:rPr>
          <w:rFonts w:ascii="Cormorant Garamond" w:eastAsia="Cormorant Garamond" w:hAnsi="Cormorant Garamond" w:cs="Cormorant Garamond"/>
        </w:rPr>
        <w:t xml:space="preserve"> in their accounts. </w:t>
      </w:r>
    </w:p>
    <w:p w14:paraId="0000000B" w14:textId="77777777" w:rsidR="00FD6CED" w:rsidRDefault="00FD6CED">
      <w:pPr>
        <w:rPr>
          <w:rFonts w:ascii="Cormorant Garamond" w:eastAsia="Cormorant Garamond" w:hAnsi="Cormorant Garamond" w:cs="Cormorant Garamond"/>
        </w:rPr>
      </w:pPr>
    </w:p>
    <w:p w14:paraId="0000000C" w14:textId="77777777" w:rsidR="00FD6CED" w:rsidRDefault="00091048">
      <w:pPr>
        <w:rPr>
          <w:rFonts w:ascii="Cormorant Garamond" w:eastAsia="Cormorant Garamond" w:hAnsi="Cormorant Garamond" w:cs="Cormorant Garamond"/>
        </w:rPr>
      </w:pPr>
      <w:r>
        <w:rPr>
          <w:rFonts w:ascii="Cormorant Garamond" w:eastAsia="Cormorant Garamond" w:hAnsi="Cormorant Garamond" w:cs="Cormorant Garamond"/>
        </w:rPr>
        <w:t xml:space="preserve">Commenting, Barbara Davidson, Head of Capital Markets Transparency at Carbon Tracker, said: </w:t>
      </w:r>
    </w:p>
    <w:p w14:paraId="0000000D" w14:textId="68008346" w:rsidR="00FD6CED" w:rsidRDefault="00091048">
      <w:pPr>
        <w:rPr>
          <w:rFonts w:ascii="Cormorant Garamond" w:eastAsia="Cormorant Garamond" w:hAnsi="Cormorant Garamond" w:cs="Cormorant Garamond"/>
          <w:b/>
          <w:bCs/>
        </w:rPr>
      </w:pPr>
      <w:r w:rsidRPr="63DA54CE">
        <w:rPr>
          <w:rFonts w:ascii="Cormorant Garamond" w:eastAsia="Cormorant Garamond" w:hAnsi="Cormorant Garamond" w:cs="Cormorant Garamond"/>
          <w:b/>
          <w:bCs/>
        </w:rPr>
        <w:t>“Our analysis shows that oil and gas companies are routinely failing to provide sufficient information needed by investors to assess the scale</w:t>
      </w:r>
      <w:r w:rsidR="5AD9F4FC" w:rsidRPr="63DA54CE">
        <w:rPr>
          <w:rFonts w:ascii="Cormorant Garamond" w:eastAsia="Cormorant Garamond" w:hAnsi="Cormorant Garamond" w:cs="Cormorant Garamond"/>
          <w:b/>
          <w:bCs/>
        </w:rPr>
        <w:t xml:space="preserve"> and</w:t>
      </w:r>
      <w:r w:rsidR="001D56C6">
        <w:rPr>
          <w:rFonts w:ascii="Cormorant Garamond" w:eastAsia="Cormorant Garamond" w:hAnsi="Cormorant Garamond" w:cs="Cormorant Garamond"/>
          <w:b/>
          <w:bCs/>
        </w:rPr>
        <w:t xml:space="preserve"> </w:t>
      </w:r>
      <w:r w:rsidRPr="63DA54CE">
        <w:rPr>
          <w:rFonts w:ascii="Cormorant Garamond" w:eastAsia="Cormorant Garamond" w:hAnsi="Cormorant Garamond" w:cs="Cormorant Garamond"/>
          <w:b/>
          <w:bCs/>
        </w:rPr>
        <w:t>timing</w:t>
      </w:r>
      <w:r w:rsidR="232DB492" w:rsidRPr="63DA54CE">
        <w:rPr>
          <w:rFonts w:ascii="Cormorant Garamond" w:eastAsia="Cormorant Garamond" w:hAnsi="Cormorant Garamond" w:cs="Cormorant Garamond"/>
          <w:b/>
          <w:bCs/>
        </w:rPr>
        <w:t xml:space="preserve"> of,</w:t>
      </w:r>
      <w:r w:rsidRPr="63DA54CE">
        <w:rPr>
          <w:rFonts w:ascii="Cormorant Garamond" w:eastAsia="Cormorant Garamond" w:hAnsi="Cormorant Garamond" w:cs="Cormorant Garamond"/>
          <w:b/>
          <w:bCs/>
        </w:rPr>
        <w:t xml:space="preserve"> and </w:t>
      </w:r>
      <w:r w:rsidR="146F3872" w:rsidRPr="63DA54CE">
        <w:rPr>
          <w:rFonts w:ascii="Cormorant Garamond" w:eastAsia="Cormorant Garamond" w:hAnsi="Cormorant Garamond" w:cs="Cormorant Garamond"/>
          <w:b/>
          <w:bCs/>
        </w:rPr>
        <w:t>impa</w:t>
      </w:r>
      <w:r w:rsidR="345AADFF" w:rsidRPr="63DA54CE">
        <w:rPr>
          <w:rFonts w:ascii="Cormorant Garamond" w:eastAsia="Cormorant Garamond" w:hAnsi="Cormorant Garamond" w:cs="Cormorant Garamond"/>
          <w:b/>
          <w:bCs/>
        </w:rPr>
        <w:t>ct</w:t>
      </w:r>
      <w:r w:rsidR="146F3872" w:rsidRPr="63DA54CE">
        <w:rPr>
          <w:rFonts w:ascii="Cormorant Garamond" w:eastAsia="Cormorant Garamond" w:hAnsi="Cormorant Garamond" w:cs="Cormorant Garamond"/>
          <w:b/>
          <w:bCs/>
        </w:rPr>
        <w:t xml:space="preserve"> of </w:t>
      </w:r>
      <w:r w:rsidRPr="63DA54CE">
        <w:rPr>
          <w:rFonts w:ascii="Cormorant Garamond" w:eastAsia="Cormorant Garamond" w:hAnsi="Cormorant Garamond" w:cs="Cormorant Garamond"/>
          <w:b/>
          <w:bCs/>
        </w:rPr>
        <w:t>uncertaint</w:t>
      </w:r>
      <w:r w:rsidR="0D6C5C4A" w:rsidRPr="63DA54CE">
        <w:rPr>
          <w:rFonts w:ascii="Cormorant Garamond" w:eastAsia="Cormorant Garamond" w:hAnsi="Cormorant Garamond" w:cs="Cormorant Garamond"/>
          <w:b/>
          <w:bCs/>
        </w:rPr>
        <w:t>ies on</w:t>
      </w:r>
      <w:r w:rsidR="0085308D">
        <w:rPr>
          <w:rFonts w:ascii="Cormorant Garamond" w:eastAsia="Cormorant Garamond" w:hAnsi="Cormorant Garamond" w:cs="Cormorant Garamond"/>
          <w:b/>
          <w:bCs/>
        </w:rPr>
        <w:t>,</w:t>
      </w:r>
      <w:r w:rsidRPr="63DA54CE">
        <w:rPr>
          <w:rFonts w:ascii="Cormorant Garamond" w:eastAsia="Cormorant Garamond" w:hAnsi="Cormorant Garamond" w:cs="Cormorant Garamond"/>
          <w:b/>
          <w:bCs/>
        </w:rPr>
        <w:t xml:space="preserve"> companies’ decommissioning obligations. Investors cannot properly evaluate the impact of future ARO payments on a company’s liquidity, compare companies across jurisdictions or understand the risks embedded in these long-term liabilities without transparent assumptions, payment schedules and sensitivities. Yet our findings also show that better disclosure is achievable. As the energy transition accelerates, incomplete reporting leaves markets exposed to growing financial and regulatory risks.”</w:t>
      </w:r>
    </w:p>
    <w:p w14:paraId="0000000E" w14:textId="77777777" w:rsidR="00FD6CED" w:rsidRDefault="00FD6CED">
      <w:pPr>
        <w:rPr>
          <w:rFonts w:ascii="Cormorant Garamond" w:eastAsia="Cormorant Garamond" w:hAnsi="Cormorant Garamond" w:cs="Cormorant Garamond"/>
        </w:rPr>
      </w:pPr>
    </w:p>
    <w:p w14:paraId="0000000F" w14:textId="77777777" w:rsidR="00FD6CED" w:rsidRDefault="00091048">
      <w:pPr>
        <w:rPr>
          <w:rFonts w:ascii="Cormorant Garamond" w:eastAsia="Cormorant Garamond" w:hAnsi="Cormorant Garamond" w:cs="Cormorant Garamond"/>
        </w:rPr>
      </w:pPr>
      <w:r>
        <w:rPr>
          <w:rFonts w:ascii="Cormorant Garamond" w:eastAsia="Cormorant Garamond" w:hAnsi="Cormorant Garamond" w:cs="Cormorant Garamond"/>
        </w:rPr>
        <w:t xml:space="preserve">Commenting, Rob Schuwerk, Head of Research at </w:t>
      </w:r>
      <w:proofErr w:type="spellStart"/>
      <w:r>
        <w:rPr>
          <w:rFonts w:ascii="Cormorant Garamond" w:eastAsia="Cormorant Garamond" w:hAnsi="Cormorant Garamond" w:cs="Cormorant Garamond"/>
        </w:rPr>
        <w:t>Redwater</w:t>
      </w:r>
      <w:proofErr w:type="spellEnd"/>
      <w:r>
        <w:rPr>
          <w:rFonts w:ascii="Cormorant Garamond" w:eastAsia="Cormorant Garamond" w:hAnsi="Cormorant Garamond" w:cs="Cormorant Garamond"/>
        </w:rPr>
        <w:t xml:space="preserve"> Insights, part of the Polluter Pays Project, said:</w:t>
      </w:r>
    </w:p>
    <w:p w14:paraId="00000010" w14:textId="77777777" w:rsidR="00FD6CED" w:rsidRDefault="00091048">
      <w:pPr>
        <w:rPr>
          <w:rFonts w:ascii="Cormorant Garamond" w:eastAsia="Cormorant Garamond" w:hAnsi="Cormorant Garamond" w:cs="Cormorant Garamond"/>
          <w:b/>
          <w:bCs/>
        </w:rPr>
      </w:pPr>
      <w:r>
        <w:rPr>
          <w:rFonts w:ascii="Cormorant Garamond" w:eastAsia="Cormorant Garamond" w:hAnsi="Cormorant Garamond" w:cs="Cormorant Garamond"/>
          <w:b/>
          <w:bCs/>
        </w:rPr>
        <w:t>“Differences in ARO reporting across the UK, Canada and Australia, despite being governed by the same accounting standards, demonstrate the need for greater regulatory activity to improve transparency and compliance with existing guidelines by oil and gas companies. The energy transition increases the potential for these liabilities to be accelerated, which only increases the need for full transparency.”</w:t>
      </w:r>
    </w:p>
    <w:p w14:paraId="00000013" w14:textId="63EC873C" w:rsidR="00FD6CED" w:rsidRDefault="00091048" w:rsidP="00831CD4">
      <w:pPr>
        <w:rPr>
          <w:rFonts w:ascii="Cormorant Garamond" w:eastAsia="Cormorant Garamond" w:hAnsi="Cormorant Garamond" w:cs="Cormorant Garamond"/>
        </w:rPr>
      </w:pPr>
      <w:r w:rsidRPr="63DA54CE">
        <w:rPr>
          <w:rFonts w:ascii="Cormorant Garamond" w:eastAsia="Cormorant Garamond" w:hAnsi="Cormorant Garamond" w:cs="Cormorant Garamond"/>
        </w:rPr>
        <w:lastRenderedPageBreak/>
        <w:t>The global scale of AROs is vast. In 2023, Carbon Tracker estimated that decommissioning existing oil and gas infrastructure in the U.S. alone would cost over $1.2 trillion, and that total global costs could</w:t>
      </w:r>
      <w:r w:rsidR="7D462947" w:rsidRPr="63DA54CE">
        <w:rPr>
          <w:rFonts w:ascii="Cormorant Garamond" w:eastAsia="Cormorant Garamond" w:hAnsi="Cormorant Garamond" w:cs="Cormorant Garamond"/>
        </w:rPr>
        <w:t xml:space="preserve"> be four times as large</w:t>
      </w:r>
      <w:r w:rsidRPr="63DA54CE">
        <w:rPr>
          <w:rFonts w:ascii="Cormorant Garamond" w:eastAsia="Cormorant Garamond" w:hAnsi="Cormorant Garamond" w:cs="Cormorant Garamond"/>
        </w:rPr>
        <w:t>.</w:t>
      </w:r>
      <w:r w:rsidRPr="63DA54CE">
        <w:rPr>
          <w:rStyle w:val="FootnoteReference"/>
          <w:rFonts w:ascii="Cormorant Garamond" w:eastAsia="Cormorant Garamond" w:hAnsi="Cormorant Garamond" w:cs="Cormorant Garamond"/>
        </w:rPr>
        <w:footnoteReference w:id="1"/>
      </w:r>
      <w:r w:rsidRPr="63DA54CE">
        <w:rPr>
          <w:rFonts w:ascii="Cormorant Garamond" w:eastAsia="Cormorant Garamond" w:hAnsi="Cormorant Garamond" w:cs="Cormorant Garamond"/>
        </w:rPr>
        <w:t xml:space="preserve"> The problem is becoming more urgent as the energy transition gathers pace and some oil and gas infrastructure will likely need to be retired earlier than planned. This means that the resources to pay for clean-up will be needed sooner than planned, while production revenue will not be available as a source to cover these costs. </w:t>
      </w:r>
    </w:p>
    <w:p w14:paraId="1CAB9BF0" w14:textId="33B27463" w:rsidR="00C9681B" w:rsidRDefault="00C9681B" w:rsidP="00C9681B">
      <w:pPr>
        <w:rPr>
          <w:rFonts w:ascii="Cormorant Garamond" w:eastAsia="Cormorant Garamond" w:hAnsi="Cormorant Garamond" w:cs="Cormorant Garamond"/>
        </w:rPr>
      </w:pPr>
    </w:p>
    <w:p w14:paraId="5404E3B6" w14:textId="01109ECD" w:rsidR="00257623" w:rsidRPr="00C9681B" w:rsidRDefault="00257623" w:rsidP="00C9681B">
      <w:pPr>
        <w:rPr>
          <w:rFonts w:ascii="Cormorant Garamond" w:eastAsia="Cormorant Garamond" w:hAnsi="Cormorant Garamond" w:cs="Cormorant Garamond"/>
        </w:rPr>
      </w:pPr>
      <w:r>
        <w:rPr>
          <w:rFonts w:ascii="Cormorant Garamond" w:eastAsia="Cormorant Garamond" w:hAnsi="Cormorant Garamond" w:cs="Cormorant Garamond"/>
        </w:rPr>
        <w:t xml:space="preserve">Read </w:t>
      </w:r>
      <w:r w:rsidRPr="00235324">
        <w:rPr>
          <w:rFonts w:ascii="Cormorant Garamond" w:eastAsia="Cormorant Garamond" w:hAnsi="Cormorant Garamond" w:cs="Cormorant Garamond"/>
          <w:i/>
          <w:iCs/>
        </w:rPr>
        <w:t>Asset Retirement Obligations: What Lies Beneath?</w:t>
      </w:r>
      <w:r>
        <w:rPr>
          <w:rFonts w:ascii="Cormorant Garamond" w:eastAsia="Cormorant Garamond" w:hAnsi="Cormorant Garamond" w:cs="Cormorant Garamond"/>
        </w:rPr>
        <w:t xml:space="preserve"> HERE </w:t>
      </w:r>
      <w:r w:rsidRPr="00257623">
        <w:rPr>
          <w:rFonts w:ascii="Cormorant Garamond" w:eastAsia="Cormorant Garamond" w:hAnsi="Cormorant Garamond" w:cs="Cormorant Garamond"/>
          <w:b/>
          <w:bCs/>
        </w:rPr>
        <w:t>(link)</w:t>
      </w:r>
    </w:p>
    <w:p w14:paraId="32F581DF" w14:textId="77777777" w:rsidR="00C9681B" w:rsidRDefault="00C9681B">
      <w:pPr>
        <w:rPr>
          <w:rFonts w:ascii="Cormorant Garamond" w:eastAsia="Cormorant Garamond" w:hAnsi="Cormorant Garamond" w:cs="Cormorant Garamond"/>
        </w:rPr>
      </w:pPr>
    </w:p>
    <w:p w14:paraId="00000015" w14:textId="77777777" w:rsidR="00FD6CED" w:rsidRDefault="00091048">
      <w:pPr>
        <w:rPr>
          <w:rFonts w:ascii="Cormorant Garamond" w:eastAsia="Cormorant Garamond" w:hAnsi="Cormorant Garamond" w:cs="Cormorant Garamond"/>
          <w:b/>
          <w:bCs/>
          <w:color w:val="EE0000"/>
        </w:rPr>
      </w:pPr>
      <w:r>
        <w:rPr>
          <w:rFonts w:ascii="Cormorant Garamond" w:eastAsia="Cormorant Garamond" w:hAnsi="Cormorant Garamond" w:cs="Cormorant Garamond"/>
          <w:b/>
          <w:bCs/>
          <w:color w:val="EE0000"/>
        </w:rPr>
        <w:t>Notes to Editors</w:t>
      </w:r>
    </w:p>
    <w:p w14:paraId="00000016" w14:textId="77777777" w:rsidR="00FD6CED" w:rsidRDefault="00FD6CED">
      <w:pPr>
        <w:rPr>
          <w:rFonts w:ascii="Cormorant Garamond" w:eastAsia="Cormorant Garamond" w:hAnsi="Cormorant Garamond" w:cs="Cormorant Garamond"/>
        </w:rPr>
      </w:pPr>
    </w:p>
    <w:p w14:paraId="00000017" w14:textId="77777777" w:rsidR="00FD6CED" w:rsidRDefault="00091048">
      <w:pPr>
        <w:rPr>
          <w:rFonts w:ascii="Cormorant Garamond" w:eastAsia="Cormorant Garamond" w:hAnsi="Cormorant Garamond" w:cs="Cormorant Garamond"/>
          <w:b/>
          <w:bCs/>
        </w:rPr>
      </w:pPr>
      <w:r>
        <w:rPr>
          <w:rFonts w:ascii="Cormorant Garamond" w:eastAsia="Cormorant Garamond" w:hAnsi="Cormorant Garamond" w:cs="Cormorant Garamond"/>
          <w:b/>
          <w:bCs/>
        </w:rPr>
        <w:t xml:space="preserve">For more information or media requests, please contact Nick Colwill on </w:t>
      </w:r>
      <w:hyperlink r:id="rId11">
        <w:r w:rsidR="00FD6CED">
          <w:rPr>
            <w:rFonts w:ascii="Cormorant Garamond" w:eastAsia="Cormorant Garamond" w:hAnsi="Cormorant Garamond" w:cs="Cormorant Garamond"/>
            <w:b/>
            <w:bCs/>
            <w:color w:val="467886"/>
            <w:u w:val="single"/>
          </w:rPr>
          <w:t>nick.colwill@digacommunications.com</w:t>
        </w:r>
      </w:hyperlink>
      <w:r>
        <w:rPr>
          <w:rFonts w:ascii="Cormorant Garamond" w:eastAsia="Cormorant Garamond" w:hAnsi="Cormorant Garamond" w:cs="Cormorant Garamond"/>
          <w:b/>
          <w:bCs/>
        </w:rPr>
        <w:t xml:space="preserve"> / +44 7808 091 100 or Sally Palmer on </w:t>
      </w:r>
      <w:hyperlink r:id="rId12">
        <w:r w:rsidR="00FD6CED">
          <w:rPr>
            <w:rFonts w:ascii="Cormorant Garamond" w:eastAsia="Cormorant Garamond" w:hAnsi="Cormorant Garamond" w:cs="Cormorant Garamond"/>
            <w:b/>
            <w:bCs/>
            <w:color w:val="1155CC"/>
            <w:highlight w:val="white"/>
            <w:u w:val="single"/>
          </w:rPr>
          <w:t>sally.palmer@tracker-group.org</w:t>
        </w:r>
      </w:hyperlink>
      <w:r>
        <w:rPr>
          <w:rFonts w:ascii="Cormorant Garamond" w:eastAsia="Cormorant Garamond" w:hAnsi="Cormorant Garamond" w:cs="Cormorant Garamond"/>
          <w:b/>
          <w:bCs/>
          <w:color w:val="5E5E5E"/>
          <w:highlight w:val="white"/>
        </w:rPr>
        <w:t xml:space="preserve"> </w:t>
      </w:r>
    </w:p>
    <w:p w14:paraId="00000018" w14:textId="77777777" w:rsidR="00FD6CED" w:rsidRDefault="00FD6CED">
      <w:pPr>
        <w:rPr>
          <w:rFonts w:ascii="Cormorant Garamond" w:eastAsia="Cormorant Garamond" w:hAnsi="Cormorant Garamond" w:cs="Cormorant Garamond"/>
        </w:rPr>
      </w:pPr>
    </w:p>
    <w:p w14:paraId="0000001A" w14:textId="7A067826" w:rsidR="00FD6CED" w:rsidRDefault="00091048">
      <w:pPr>
        <w:rPr>
          <w:rFonts w:ascii="Cormorant Garamond" w:eastAsia="Cormorant Garamond" w:hAnsi="Cormorant Garamond" w:cs="Cormorant Garamond"/>
        </w:rPr>
      </w:pPr>
      <w:r>
        <w:rPr>
          <w:rFonts w:ascii="Cormorant Garamond" w:eastAsia="Cormorant Garamond" w:hAnsi="Cormorant Garamond" w:cs="Cormorant Garamond"/>
          <w:b/>
          <w:bCs/>
        </w:rPr>
        <w:t xml:space="preserve">About the Report </w:t>
      </w:r>
    </w:p>
    <w:p w14:paraId="0000001B" w14:textId="77777777" w:rsidR="00FD6CED" w:rsidRDefault="00091048">
      <w:pPr>
        <w:rPr>
          <w:rFonts w:ascii="Cormorant Garamond" w:eastAsia="Cormorant Garamond" w:hAnsi="Cormorant Garamond" w:cs="Cormorant Garamond"/>
        </w:rPr>
      </w:pPr>
      <w:r>
        <w:rPr>
          <w:rFonts w:ascii="Cormorant Garamond" w:eastAsia="Cormorant Garamond" w:hAnsi="Cormorant Garamond" w:cs="Cormorant Garamond"/>
        </w:rPr>
        <w:t xml:space="preserve">Carbon Tracker analysed the financial statements of 38 oil and gas companies across the UK, Canada and Australia to assess existing transparency about AROs and determine whether sufficient information is provided by those companies in accordance with existing requirements and guidance. The report uses the Carbon Tracker </w:t>
      </w:r>
      <w:r>
        <w:rPr>
          <w:rFonts w:ascii="Cormorant Garamond" w:eastAsia="Cormorant Garamond" w:hAnsi="Cormorant Garamond" w:cs="Cormorant Garamond"/>
          <w:i/>
          <w:iCs/>
        </w:rPr>
        <w:t xml:space="preserve">Asset Retirement Obligations: Transparency Scorecard </w:t>
      </w:r>
      <w:r>
        <w:rPr>
          <w:rFonts w:ascii="Cormorant Garamond" w:eastAsia="Cormorant Garamond" w:hAnsi="Cormorant Garamond" w:cs="Cormorant Garamond"/>
        </w:rPr>
        <w:t xml:space="preserve">methodology, comprising 15 metrics, all of which are grounded in existing International Financial Reporting Standards disclosure requirements and guidance. </w:t>
      </w:r>
    </w:p>
    <w:p w14:paraId="0000001E" w14:textId="77777777" w:rsidR="00FD6CED" w:rsidRDefault="00FD6CED">
      <w:pPr>
        <w:rPr>
          <w:rFonts w:ascii="Cormorant Garamond" w:eastAsia="Cormorant Garamond" w:hAnsi="Cormorant Garamond" w:cs="Cormorant Garamond"/>
        </w:rPr>
      </w:pPr>
    </w:p>
    <w:p w14:paraId="0000001F" w14:textId="77777777" w:rsidR="00FD6CED" w:rsidRDefault="00091048">
      <w:pPr>
        <w:rPr>
          <w:rFonts w:ascii="Cormorant Garamond" w:eastAsia="Cormorant Garamond" w:hAnsi="Cormorant Garamond" w:cs="Cormorant Garamond"/>
        </w:rPr>
      </w:pPr>
      <w:r>
        <w:rPr>
          <w:rFonts w:ascii="Cormorant Garamond" w:eastAsia="Cormorant Garamond" w:hAnsi="Cormorant Garamond" w:cs="Cormorant Garamond"/>
          <w:b/>
          <w:bCs/>
        </w:rPr>
        <w:t>About the IASB and new guidance "Disclosures About Uncertainties in the Financial Statements”</w:t>
      </w:r>
    </w:p>
    <w:p w14:paraId="00000020" w14:textId="77777777" w:rsidR="00FD6CED" w:rsidRDefault="00091048">
      <w:pPr>
        <w:rPr>
          <w:rFonts w:ascii="Cormorant Garamond" w:eastAsia="Cormorant Garamond" w:hAnsi="Cormorant Garamond" w:cs="Cormorant Garamond"/>
        </w:rPr>
      </w:pPr>
      <w:r>
        <w:rPr>
          <w:rFonts w:ascii="Cormorant Garamond" w:eastAsia="Cormorant Garamond" w:hAnsi="Cormorant Garamond" w:cs="Cormorant Garamond"/>
        </w:rPr>
        <w:t xml:space="preserve">For more information please visit </w:t>
      </w:r>
      <w:hyperlink r:id="rId13">
        <w:r w:rsidR="00FD6CED">
          <w:rPr>
            <w:rFonts w:ascii="Cormorant Garamond" w:eastAsia="Cormorant Garamond" w:hAnsi="Cormorant Garamond" w:cs="Cormorant Garamond"/>
            <w:color w:val="1155CC"/>
            <w:u w:val="single"/>
          </w:rPr>
          <w:t>https://www.ifrs.org/news-and-events/news/2025/11/iasb-issues-illustrative-examples-reporting-uncertainties-financial-statements/</w:t>
        </w:r>
      </w:hyperlink>
      <w:r>
        <w:rPr>
          <w:rFonts w:ascii="Cormorant Garamond" w:eastAsia="Cormorant Garamond" w:hAnsi="Cormorant Garamond" w:cs="Cormorant Garamond"/>
        </w:rPr>
        <w:t xml:space="preserve"> </w:t>
      </w:r>
    </w:p>
    <w:p w14:paraId="00000021" w14:textId="77777777" w:rsidR="00FD6CED" w:rsidRDefault="00FD6CED">
      <w:pPr>
        <w:rPr>
          <w:rFonts w:ascii="Cormorant Garamond" w:eastAsia="Cormorant Garamond" w:hAnsi="Cormorant Garamond" w:cs="Cormorant Garamond"/>
          <w:b/>
          <w:bCs/>
        </w:rPr>
      </w:pPr>
    </w:p>
    <w:p w14:paraId="00000022" w14:textId="77777777" w:rsidR="00FD6CED" w:rsidRDefault="00091048">
      <w:pPr>
        <w:rPr>
          <w:rFonts w:ascii="Cormorant Garamond" w:eastAsia="Cormorant Garamond" w:hAnsi="Cormorant Garamond" w:cs="Cormorant Garamond"/>
          <w:b/>
          <w:bCs/>
        </w:rPr>
      </w:pPr>
      <w:r>
        <w:rPr>
          <w:rFonts w:ascii="Cormorant Garamond" w:eastAsia="Cormorant Garamond" w:hAnsi="Cormorant Garamond" w:cs="Cormorant Garamond"/>
          <w:b/>
          <w:bCs/>
        </w:rPr>
        <w:t>About Carbon Tracker</w:t>
      </w:r>
    </w:p>
    <w:p w14:paraId="00000023" w14:textId="77777777" w:rsidR="00FD6CED" w:rsidRDefault="00091048">
      <w:pPr>
        <w:rPr>
          <w:rFonts w:ascii="Cormorant Garamond" w:eastAsia="Cormorant Garamond" w:hAnsi="Cormorant Garamond" w:cs="Cormorant Garamond"/>
          <w:sz w:val="18"/>
          <w:szCs w:val="18"/>
        </w:rPr>
      </w:pPr>
      <w:r>
        <w:rPr>
          <w:rFonts w:ascii="Cormorant Garamond" w:eastAsia="Cormorant Garamond" w:hAnsi="Cormorant Garamond" w:cs="Cormorant Garamond"/>
          <w:highlight w:val="white"/>
        </w:rPr>
        <w:t xml:space="preserve">The Carbon Tracker Initiative is a not-for-profit financial think tank that seeks to promote a climate-secure global energy market by aligning capital markets with climate reality. Our research on the </w:t>
      </w:r>
      <w:hyperlink r:id="rId14" w:anchor="carbon-bubble">
        <w:r w:rsidR="00FD6CED">
          <w:rPr>
            <w:rFonts w:ascii="Cormorant Garamond" w:eastAsia="Cormorant Garamond" w:hAnsi="Cormorant Garamond" w:cs="Cormorant Garamond"/>
            <w:highlight w:val="white"/>
            <w:u w:val="single"/>
          </w:rPr>
          <w:t>carbon bubble</w:t>
        </w:r>
      </w:hyperlink>
      <w:r>
        <w:rPr>
          <w:rFonts w:ascii="Cormorant Garamond" w:eastAsia="Cormorant Garamond" w:hAnsi="Cormorant Garamond" w:cs="Cormorant Garamond"/>
          <w:highlight w:val="white"/>
        </w:rPr>
        <w:t xml:space="preserve">, </w:t>
      </w:r>
      <w:hyperlink r:id="rId15" w:anchor="unburnable-carbon">
        <w:proofErr w:type="spellStart"/>
        <w:r w:rsidR="00FD6CED">
          <w:rPr>
            <w:rFonts w:ascii="Cormorant Garamond" w:eastAsia="Cormorant Garamond" w:hAnsi="Cormorant Garamond" w:cs="Cormorant Garamond"/>
            <w:highlight w:val="white"/>
            <w:u w:val="single"/>
          </w:rPr>
          <w:t>unburnable</w:t>
        </w:r>
        <w:proofErr w:type="spellEnd"/>
        <w:r w:rsidR="00FD6CED">
          <w:rPr>
            <w:rFonts w:ascii="Cormorant Garamond" w:eastAsia="Cormorant Garamond" w:hAnsi="Cormorant Garamond" w:cs="Cormorant Garamond"/>
            <w:highlight w:val="white"/>
            <w:u w:val="single"/>
          </w:rPr>
          <w:t xml:space="preserve"> carbon</w:t>
        </w:r>
      </w:hyperlink>
      <w:r>
        <w:rPr>
          <w:rFonts w:ascii="Cormorant Garamond" w:eastAsia="Cormorant Garamond" w:hAnsi="Cormorant Garamond" w:cs="Cormorant Garamond"/>
          <w:highlight w:val="white"/>
        </w:rPr>
        <w:t xml:space="preserve">, and </w:t>
      </w:r>
      <w:hyperlink r:id="rId16" w:anchor="stranded-assets">
        <w:r w:rsidR="00FD6CED">
          <w:rPr>
            <w:rFonts w:ascii="Cormorant Garamond" w:eastAsia="Cormorant Garamond" w:hAnsi="Cormorant Garamond" w:cs="Cormorant Garamond"/>
            <w:highlight w:val="white"/>
            <w:u w:val="single"/>
          </w:rPr>
          <w:t>stranded assets</w:t>
        </w:r>
      </w:hyperlink>
      <w:r>
        <w:rPr>
          <w:rFonts w:ascii="Cormorant Garamond" w:eastAsia="Cormorant Garamond" w:hAnsi="Cormorant Garamond" w:cs="Cormorant Garamond"/>
          <w:highlight w:val="white"/>
        </w:rPr>
        <w:t xml:space="preserve"> has begun a new debate on aligning the financial system with the energy transition to a low-carbon future. </w:t>
      </w:r>
      <w:hyperlink r:id="rId17">
        <w:r w:rsidR="00FD6CED">
          <w:rPr>
            <w:rFonts w:ascii="Cormorant Garamond" w:eastAsia="Cormorant Garamond" w:hAnsi="Cormorant Garamond" w:cs="Cormorant Garamond"/>
            <w:highlight w:val="white"/>
            <w:u w:val="single"/>
          </w:rPr>
          <w:t>www.carbontracker.org</w:t>
        </w:r>
      </w:hyperlink>
    </w:p>
    <w:p w14:paraId="00000024" w14:textId="77777777" w:rsidR="00FD6CED" w:rsidRDefault="00FD6CED">
      <w:pPr>
        <w:rPr>
          <w:rFonts w:ascii="Cormorant Garamond" w:eastAsia="Cormorant Garamond" w:hAnsi="Cormorant Garamond" w:cs="Cormorant Garamond"/>
        </w:rPr>
      </w:pPr>
    </w:p>
    <w:p w14:paraId="00000025" w14:textId="77777777" w:rsidR="00FD6CED" w:rsidRDefault="00FD6CED">
      <w:pPr>
        <w:rPr>
          <w:rFonts w:ascii="Cormorant Garamond" w:eastAsia="Cormorant Garamond" w:hAnsi="Cormorant Garamond" w:cs="Cormorant Garamond"/>
        </w:rPr>
      </w:pPr>
    </w:p>
    <w:p w14:paraId="00000026" w14:textId="77777777" w:rsidR="00FD6CED" w:rsidRDefault="00FD6CED">
      <w:pPr>
        <w:rPr>
          <w:rFonts w:ascii="Cormorant Garamond" w:eastAsia="Cormorant Garamond" w:hAnsi="Cormorant Garamond" w:cs="Cormorant Garamond"/>
        </w:rPr>
      </w:pPr>
    </w:p>
    <w:p w14:paraId="00000027" w14:textId="77777777" w:rsidR="00FD6CED" w:rsidRDefault="00FD6CED">
      <w:pPr>
        <w:rPr>
          <w:rFonts w:ascii="Cormorant Garamond" w:eastAsia="Cormorant Garamond" w:hAnsi="Cormorant Garamond" w:cs="Cormorant Garamond"/>
        </w:rPr>
      </w:pPr>
    </w:p>
    <w:sectPr w:rsidR="00FD6CED">
      <w:pgSz w:w="11900" w:h="16840"/>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A55A14" w14:textId="77777777" w:rsidR="0001663E" w:rsidRDefault="0001663E">
      <w:r>
        <w:separator/>
      </w:r>
    </w:p>
  </w:endnote>
  <w:endnote w:type="continuationSeparator" w:id="0">
    <w:p w14:paraId="7AAC334D" w14:textId="77777777" w:rsidR="0001663E" w:rsidRDefault="000166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embedRegular r:id="rId1" w:fontKey="{CFFBFEE2-820B-4120-88F6-0CB0EE3750F5}"/>
    <w:embedBold r:id="rId2" w:fontKey="{636E5779-B23C-44C2-8371-8C290AC2C6B7}"/>
    <w:embedItalic r:id="rId3" w:fontKey="{099851EB-BF3D-4674-90F3-E526B1A9084D}"/>
  </w:font>
  <w:font w:name="Play">
    <w:altName w:val="Calibri"/>
    <w:charset w:val="00"/>
    <w:family w:val="auto"/>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embedRegular r:id="rId4" w:fontKey="{C1E68698-C42C-4ECA-8525-6AF9836D5679}"/>
  </w:font>
  <w:font w:name="Cormorant Garamond">
    <w:altName w:val="Calibri"/>
    <w:charset w:val="4D"/>
    <w:family w:val="auto"/>
    <w:pitch w:val="variable"/>
    <w:sig w:usb0="20000207" w:usb1="00000001" w:usb2="00000000" w:usb3="00000000" w:csb0="00000197" w:csb1="00000000"/>
    <w:embedRegular r:id="rId5" w:fontKey="{DC23B9F1-5B20-422B-81C4-7898CE72547F}"/>
    <w:embedBold r:id="rId6" w:fontKey="{9E8AD056-178C-48E0-A71A-5BE02A9C3F42}"/>
    <w:embedItalic r:id="rId7" w:fontKey="{10B6577D-B433-4815-AB63-214E7D2FEF0D}"/>
  </w:font>
  <w:font w:name="Yu Gothic">
    <w:altName w:val="游ゴシック"/>
    <w:panose1 w:val="020B04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BCBDD1" w14:textId="77777777" w:rsidR="0001663E" w:rsidRDefault="0001663E">
      <w:r>
        <w:separator/>
      </w:r>
    </w:p>
  </w:footnote>
  <w:footnote w:type="continuationSeparator" w:id="0">
    <w:p w14:paraId="04E9E50B" w14:textId="77777777" w:rsidR="0001663E" w:rsidRDefault="0001663E">
      <w:r>
        <w:continuationSeparator/>
      </w:r>
    </w:p>
  </w:footnote>
  <w:footnote w:id="1">
    <w:p w14:paraId="2714746A" w14:textId="580B4F0B" w:rsidR="63DA54CE" w:rsidRPr="009A2B62" w:rsidRDefault="63DA54CE" w:rsidP="007839AE">
      <w:pPr>
        <w:pStyle w:val="FootnoteText"/>
        <w:rPr>
          <w:rFonts w:ascii="Cormorant Garamond" w:eastAsia="Cormorant Garamond" w:hAnsi="Cormorant Garamond" w:cs="Cormorant Garamond"/>
          <w:sz w:val="24"/>
          <w:szCs w:val="24"/>
          <w:highlight w:val="white"/>
        </w:rPr>
      </w:pPr>
      <w:r w:rsidRPr="009A2B62">
        <w:rPr>
          <w:rFonts w:ascii="Cormorant Garamond" w:eastAsia="Cormorant Garamond" w:hAnsi="Cormorant Garamond" w:cs="Cormorant Garamond"/>
          <w:sz w:val="24"/>
          <w:szCs w:val="24"/>
          <w:highlight w:val="white"/>
          <w:vertAlign w:val="superscript"/>
        </w:rPr>
        <w:footnoteRef/>
      </w:r>
      <w:r w:rsidRPr="009A2B62">
        <w:rPr>
          <w:rFonts w:ascii="Cormorant Garamond" w:eastAsia="Cormorant Garamond" w:hAnsi="Cormorant Garamond" w:cs="Cormorant Garamond"/>
          <w:sz w:val="24"/>
          <w:szCs w:val="24"/>
          <w:highlight w:val="white"/>
        </w:rPr>
        <w:t xml:space="preserve"> </w:t>
      </w:r>
      <w:hyperlink r:id="rId1" w:history="1">
        <w:r w:rsidRPr="009A2B62">
          <w:rPr>
            <w:rFonts w:ascii="Cormorant Garamond" w:eastAsia="Cormorant Garamond" w:hAnsi="Cormorant Garamond" w:cs="Cormorant Garamond"/>
            <w:highlight w:val="white"/>
          </w:rPr>
          <w:t>Overlooked: Why oil and gas decommissioning liabilities pose overlooked financial stability risk</w:t>
        </w:r>
      </w:hyperlink>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6CED"/>
    <w:rsid w:val="0001663E"/>
    <w:rsid w:val="00091048"/>
    <w:rsid w:val="000B4BF6"/>
    <w:rsid w:val="00122FC3"/>
    <w:rsid w:val="001D56C6"/>
    <w:rsid w:val="001E4044"/>
    <w:rsid w:val="001F5F75"/>
    <w:rsid w:val="002223E6"/>
    <w:rsid w:val="00235324"/>
    <w:rsid w:val="00235810"/>
    <w:rsid w:val="00257623"/>
    <w:rsid w:val="002638FC"/>
    <w:rsid w:val="00282A2C"/>
    <w:rsid w:val="002A6B23"/>
    <w:rsid w:val="00334A34"/>
    <w:rsid w:val="00397C25"/>
    <w:rsid w:val="003E2C11"/>
    <w:rsid w:val="00407270"/>
    <w:rsid w:val="004149DA"/>
    <w:rsid w:val="00424F35"/>
    <w:rsid w:val="00435F56"/>
    <w:rsid w:val="00443402"/>
    <w:rsid w:val="00467DFE"/>
    <w:rsid w:val="00492C6C"/>
    <w:rsid w:val="004A3EAC"/>
    <w:rsid w:val="00634F99"/>
    <w:rsid w:val="00712BE2"/>
    <w:rsid w:val="007602FA"/>
    <w:rsid w:val="0076388A"/>
    <w:rsid w:val="007839AE"/>
    <w:rsid w:val="007D6AEF"/>
    <w:rsid w:val="00812C15"/>
    <w:rsid w:val="00831CD4"/>
    <w:rsid w:val="00846693"/>
    <w:rsid w:val="0085308D"/>
    <w:rsid w:val="00860AD2"/>
    <w:rsid w:val="008A74FE"/>
    <w:rsid w:val="008B523E"/>
    <w:rsid w:val="008C6D4A"/>
    <w:rsid w:val="009101AE"/>
    <w:rsid w:val="00993DE4"/>
    <w:rsid w:val="009A23B3"/>
    <w:rsid w:val="009A2B62"/>
    <w:rsid w:val="009C289B"/>
    <w:rsid w:val="00A308BE"/>
    <w:rsid w:val="00A97A2E"/>
    <w:rsid w:val="00AD3396"/>
    <w:rsid w:val="00B95D93"/>
    <w:rsid w:val="00C1104C"/>
    <w:rsid w:val="00C53EDA"/>
    <w:rsid w:val="00C9681B"/>
    <w:rsid w:val="00CA3D88"/>
    <w:rsid w:val="00CB01E4"/>
    <w:rsid w:val="00CE3363"/>
    <w:rsid w:val="00D212BF"/>
    <w:rsid w:val="00D81583"/>
    <w:rsid w:val="00DE37B1"/>
    <w:rsid w:val="00E12513"/>
    <w:rsid w:val="00E564BD"/>
    <w:rsid w:val="00EB1621"/>
    <w:rsid w:val="00EF051A"/>
    <w:rsid w:val="00F350FD"/>
    <w:rsid w:val="00F5478E"/>
    <w:rsid w:val="00F60DF1"/>
    <w:rsid w:val="00F808AE"/>
    <w:rsid w:val="00FD6CED"/>
    <w:rsid w:val="00FF450A"/>
    <w:rsid w:val="0D6C5C4A"/>
    <w:rsid w:val="146F3872"/>
    <w:rsid w:val="18602C9D"/>
    <w:rsid w:val="1C543235"/>
    <w:rsid w:val="232DB492"/>
    <w:rsid w:val="24A0455D"/>
    <w:rsid w:val="2D2AAD4A"/>
    <w:rsid w:val="345AADFF"/>
    <w:rsid w:val="36A00E10"/>
    <w:rsid w:val="41033EFA"/>
    <w:rsid w:val="5AD9F4FC"/>
    <w:rsid w:val="63DA54CE"/>
    <w:rsid w:val="7D46294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302AFB"/>
  <w15:docId w15:val="{AC026E29-B6F1-406E-BF7F-E910B9768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Play" w:eastAsia="Play" w:hAnsi="Play" w:cs="Play"/>
      <w:color w:val="0F4761"/>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Play" w:eastAsia="Play" w:hAnsi="Play" w:cs="Play"/>
      <w:color w:val="0F4761"/>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color w:val="0F4761"/>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i/>
      <w:iCs/>
      <w:color w:val="0F4761"/>
    </w:rPr>
  </w:style>
  <w:style w:type="paragraph" w:styleId="Heading5">
    <w:name w:val="heading 5"/>
    <w:basedOn w:val="Normal"/>
    <w:next w:val="Normal"/>
    <w:link w:val="Heading5Char"/>
    <w:uiPriority w:val="9"/>
    <w:semiHidden/>
    <w:unhideWhenUsed/>
    <w:qFormat/>
    <w:pPr>
      <w:keepNext/>
      <w:keepLines/>
      <w:spacing w:before="80" w:after="40"/>
      <w:outlineLvl w:val="4"/>
    </w:pPr>
    <w:rPr>
      <w:color w:val="0F4761"/>
    </w:rPr>
  </w:style>
  <w:style w:type="paragraph" w:styleId="Heading6">
    <w:name w:val="heading 6"/>
    <w:basedOn w:val="Normal"/>
    <w:next w:val="Normal"/>
    <w:link w:val="Heading6Char"/>
    <w:uiPriority w:val="9"/>
    <w:semiHidden/>
    <w:unhideWhenUsed/>
    <w:qFormat/>
    <w:pPr>
      <w:keepNext/>
      <w:keepLines/>
      <w:spacing w:before="40"/>
      <w:outlineLvl w:val="5"/>
    </w:pPr>
    <w:rPr>
      <w:i/>
      <w:iCs/>
      <w:color w:val="595959"/>
    </w:rPr>
  </w:style>
  <w:style w:type="paragraph" w:styleId="Heading7">
    <w:name w:val="heading 7"/>
    <w:basedOn w:val="Normal"/>
    <w:next w:val="Normal"/>
    <w:link w:val="Heading7Char"/>
    <w:uiPriority w:val="9"/>
    <w:semiHidden/>
    <w:unhideWhenUsed/>
    <w:qFormat/>
    <w:rsid w:val="005C6A1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C6A1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C6A1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link w:val="TitleChar"/>
    <w:uiPriority w:val="10"/>
    <w:qFormat/>
    <w:pPr>
      <w:spacing w:after="80"/>
    </w:pPr>
    <w:rPr>
      <w:rFonts w:ascii="Play" w:eastAsia="Play" w:hAnsi="Play" w:cs="Play"/>
      <w:sz w:val="56"/>
      <w:szCs w:val="56"/>
    </w:rPr>
  </w:style>
  <w:style w:type="table" w:customStyle="1" w:styleId="TableNormal00">
    <w:name w:val="TableNormal0"/>
    <w:tblPr>
      <w:tblCellMar>
        <w:top w:w="100" w:type="dxa"/>
        <w:left w:w="100" w:type="dxa"/>
        <w:bottom w:w="100" w:type="dxa"/>
        <w:right w:w="100" w:type="dxa"/>
      </w:tblCellMar>
    </w:tblPr>
  </w:style>
  <w:style w:type="character" w:customStyle="1" w:styleId="Heading1Char">
    <w:name w:val="Heading 1 Char"/>
    <w:basedOn w:val="DefaultParagraphFont"/>
    <w:link w:val="Heading1"/>
    <w:uiPriority w:val="9"/>
    <w:rsid w:val="005C6A1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C6A1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C6A1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C6A1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C6A1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C6A1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C6A1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C6A1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C6A1E"/>
    <w:rPr>
      <w:rFonts w:eastAsiaTheme="majorEastAsia" w:cstheme="majorBidi"/>
      <w:color w:val="272727" w:themeColor="text1" w:themeTint="D8"/>
    </w:rPr>
  </w:style>
  <w:style w:type="character" w:customStyle="1" w:styleId="TitleChar">
    <w:name w:val="Title Char"/>
    <w:basedOn w:val="DefaultParagraphFont"/>
    <w:link w:val="Title"/>
    <w:uiPriority w:val="10"/>
    <w:rsid w:val="005C6A1E"/>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
    <w:rsid w:val="005C6A1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C6A1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C6A1E"/>
    <w:rPr>
      <w:i/>
      <w:iCs/>
      <w:color w:val="404040" w:themeColor="text1" w:themeTint="BF"/>
    </w:rPr>
  </w:style>
  <w:style w:type="paragraph" w:styleId="ListParagraph">
    <w:name w:val="List Paragraph"/>
    <w:basedOn w:val="Normal"/>
    <w:uiPriority w:val="34"/>
    <w:qFormat/>
    <w:rsid w:val="005C6A1E"/>
    <w:pPr>
      <w:ind w:left="720"/>
      <w:contextualSpacing/>
    </w:pPr>
  </w:style>
  <w:style w:type="character" w:styleId="IntenseEmphasis">
    <w:name w:val="Intense Emphasis"/>
    <w:basedOn w:val="DefaultParagraphFont"/>
    <w:uiPriority w:val="21"/>
    <w:qFormat/>
    <w:rsid w:val="005C6A1E"/>
    <w:rPr>
      <w:i/>
      <w:iCs/>
      <w:color w:val="0F4761" w:themeColor="accent1" w:themeShade="BF"/>
    </w:rPr>
  </w:style>
  <w:style w:type="paragraph" w:styleId="IntenseQuote">
    <w:name w:val="Intense Quote"/>
    <w:basedOn w:val="Normal"/>
    <w:next w:val="Normal"/>
    <w:link w:val="IntenseQuoteChar"/>
    <w:uiPriority w:val="30"/>
    <w:qFormat/>
    <w:rsid w:val="005C6A1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C6A1E"/>
    <w:rPr>
      <w:i/>
      <w:iCs/>
      <w:color w:val="0F4761" w:themeColor="accent1" w:themeShade="BF"/>
    </w:rPr>
  </w:style>
  <w:style w:type="character" w:styleId="IntenseReference">
    <w:name w:val="Intense Reference"/>
    <w:basedOn w:val="DefaultParagraphFont"/>
    <w:uiPriority w:val="32"/>
    <w:qFormat/>
    <w:rsid w:val="005C6A1E"/>
    <w:rPr>
      <w:b/>
      <w:bCs/>
      <w:smallCaps/>
      <w:color w:val="0F4761" w:themeColor="accent1" w:themeShade="BF"/>
      <w:spacing w:val="5"/>
    </w:rPr>
  </w:style>
  <w:style w:type="character" w:styleId="Hyperlink">
    <w:name w:val="Hyperlink"/>
    <w:basedOn w:val="DefaultParagraphFont"/>
    <w:uiPriority w:val="99"/>
    <w:unhideWhenUsed/>
    <w:rsid w:val="000668D5"/>
    <w:rPr>
      <w:color w:val="467886" w:themeColor="hyperlink"/>
      <w:u w:val="single"/>
    </w:rPr>
  </w:style>
  <w:style w:type="character" w:styleId="UnresolvedMention">
    <w:name w:val="Unresolved Mention"/>
    <w:basedOn w:val="DefaultParagraphFont"/>
    <w:uiPriority w:val="99"/>
    <w:semiHidden/>
    <w:unhideWhenUsed/>
    <w:rsid w:val="000668D5"/>
    <w:rPr>
      <w:color w:val="605E5C"/>
      <w:shd w:val="clear" w:color="auto" w:fill="E1DFDD"/>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A95D37"/>
    <w:rPr>
      <w:b/>
      <w:bCs/>
    </w:rPr>
  </w:style>
  <w:style w:type="character" w:customStyle="1" w:styleId="CommentSubjectChar">
    <w:name w:val="Comment Subject Char"/>
    <w:basedOn w:val="CommentTextChar"/>
    <w:link w:val="CommentSubject"/>
    <w:uiPriority w:val="99"/>
    <w:semiHidden/>
    <w:rsid w:val="00A95D37"/>
    <w:rPr>
      <w:b/>
      <w:bCs/>
      <w:sz w:val="20"/>
      <w:szCs w:val="20"/>
    </w:rPr>
  </w:style>
  <w:style w:type="paragraph" w:styleId="Revision">
    <w:name w:val="Revision"/>
    <w:hidden/>
    <w:uiPriority w:val="99"/>
    <w:semiHidden/>
    <w:rsid w:val="00A95D37"/>
  </w:style>
  <w:style w:type="paragraph" w:styleId="Subtitle">
    <w:name w:val="Subtitle"/>
    <w:basedOn w:val="Normal"/>
    <w:next w:val="Normal"/>
    <w:link w:val="SubtitleChar"/>
    <w:uiPriority w:val="11"/>
    <w:qFormat/>
    <w:pPr>
      <w:spacing w:after="160"/>
    </w:pPr>
    <w:rPr>
      <w:color w:val="595959"/>
      <w:sz w:val="28"/>
      <w:szCs w:val="28"/>
    </w:rPr>
  </w:style>
  <w:style w:type="paragraph" w:styleId="FootnoteText">
    <w:name w:val="footnote text"/>
    <w:basedOn w:val="Normal"/>
    <w:uiPriority w:val="99"/>
    <w:semiHidden/>
    <w:unhideWhenUsed/>
    <w:rsid w:val="63DA54CE"/>
    <w:rPr>
      <w:sz w:val="20"/>
      <w:szCs w:val="20"/>
    </w:rPr>
  </w:style>
  <w:style w:type="character" w:styleId="FootnoteReference">
    <w:name w:val="footnote reference"/>
    <w:basedOn w:val="DefaultParagraphFont"/>
    <w:uiPriority w:val="99"/>
    <w:semiHidden/>
    <w:unhideWhenUsed/>
    <w:rPr>
      <w:vertAlign w:val="superscript"/>
    </w:rPr>
  </w:style>
  <w:style w:type="paragraph" w:styleId="Header">
    <w:name w:val="header"/>
    <w:basedOn w:val="Normal"/>
    <w:link w:val="HeaderChar"/>
    <w:uiPriority w:val="99"/>
    <w:semiHidden/>
    <w:unhideWhenUsed/>
    <w:rsid w:val="00E564BD"/>
    <w:pPr>
      <w:tabs>
        <w:tab w:val="center" w:pos="4513"/>
        <w:tab w:val="right" w:pos="9026"/>
      </w:tabs>
    </w:pPr>
  </w:style>
  <w:style w:type="character" w:customStyle="1" w:styleId="HeaderChar">
    <w:name w:val="Header Char"/>
    <w:basedOn w:val="DefaultParagraphFont"/>
    <w:link w:val="Header"/>
    <w:uiPriority w:val="99"/>
    <w:semiHidden/>
    <w:rsid w:val="00E564BD"/>
  </w:style>
  <w:style w:type="paragraph" w:styleId="Footer">
    <w:name w:val="footer"/>
    <w:basedOn w:val="Normal"/>
    <w:link w:val="FooterChar"/>
    <w:uiPriority w:val="99"/>
    <w:semiHidden/>
    <w:unhideWhenUsed/>
    <w:rsid w:val="00E564BD"/>
    <w:pPr>
      <w:tabs>
        <w:tab w:val="center" w:pos="4513"/>
        <w:tab w:val="right" w:pos="9026"/>
      </w:tabs>
    </w:pPr>
  </w:style>
  <w:style w:type="character" w:customStyle="1" w:styleId="FooterChar">
    <w:name w:val="Footer Char"/>
    <w:basedOn w:val="DefaultParagraphFont"/>
    <w:link w:val="Footer"/>
    <w:uiPriority w:val="99"/>
    <w:semiHidden/>
    <w:rsid w:val="00E564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frs.org/news-and-events/news/2025/11/iasb-issues-illustrative-examples-reporting-uncertainties-financial-statemen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ally.palmer@tracker-group.org" TargetMode="External"/><Relationship Id="rId17" Type="http://schemas.openxmlformats.org/officeDocument/2006/relationships/hyperlink" Target="http://www.carbontracker.org/" TargetMode="External"/><Relationship Id="rId2" Type="http://schemas.openxmlformats.org/officeDocument/2006/relationships/customXml" Target="../customXml/item2.xml"/><Relationship Id="rId16" Type="http://schemas.openxmlformats.org/officeDocument/2006/relationships/hyperlink" Target="https://carbontracker.org/resources/terms-lis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nick.colwill@digacommunications.com" TargetMode="External"/><Relationship Id="rId5" Type="http://schemas.openxmlformats.org/officeDocument/2006/relationships/customXml" Target="../customXml/item5.xml"/><Relationship Id="rId15" Type="http://schemas.openxmlformats.org/officeDocument/2006/relationships/hyperlink" Target="https://carbontracker.org/resources/terms-list/"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arbontracker.org/resources/terms-list/" TargetMode="Externa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_rels/footnotes.xml.rels><?xml version="1.0" encoding="UTF-8" standalone="yes"?>
<Relationships xmlns="http://schemas.openxmlformats.org/package/2006/relationships"><Relationship Id="rId1" Type="http://schemas.openxmlformats.org/officeDocument/2006/relationships/hyperlink" Target="https://carbontracker.org/reports/overlooked-why-oil-and-gas-decommissioning-liabilities-pose-overlooked-financial-stability-risk/%23:~:text=Oil%20and%20gas%20decommissioning%20obligations%20are%20large.,be%20four%20times%20as%20lar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bb1e7e4a-0381-467c-bd85-8a581b9a9c88" ContentTypeId="0x0101006B72AAD74B61BE45BB1CD563C3A787E207" PreviousValue="false" LastSyncTimeStamp="2021-11-12T15:26:32.107Z"/>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a5A+cKACxVb8x5wvI1itN+VVoPw==">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</go:docsCustomData>
</go:gDocsCustomXmlDataStorage>
</file>

<file path=customXml/item3.xml><?xml version="1.0" encoding="utf-8"?>
<ct:contentTypeSchema xmlns:ct="http://schemas.microsoft.com/office/2006/metadata/contentType" xmlns:ma="http://schemas.microsoft.com/office/2006/metadata/properties/metaAttributes" ct:_="" ma:_="" ma:contentTypeName="Documents Comms" ma:contentTypeID="0x0101006B72AAD74B61BE45BB1CD563C3A787E20700C3ABE43C178EE44EB7FD00021FD2E654" ma:contentTypeVersion="4" ma:contentTypeDescription="This content type is applied to the library 'Documents' on Comms Site" ma:contentTypeScope="" ma:versionID="c4fd42a9f4d15dc3acf21a94824bbf19">
  <xsd:schema xmlns:xsd="http://www.w3.org/2001/XMLSchema" xmlns:xs="http://www.w3.org/2001/XMLSchema" xmlns:p="http://schemas.microsoft.com/office/2006/metadata/properties" targetNamespace="http://schemas.microsoft.com/office/2006/metadata/properties" ma:root="true" ma:fieldsID="9b7c132c745897fa8424cf4f78339ad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B02C8CF-2195-488F-AF81-6EE810F1B4EC}">
  <ds:schemaRefs>
    <ds:schemaRef ds:uri="Microsoft.SharePoint.Taxonomy.ContentTypeSync"/>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DDD09655-3100-4B14-96DD-6D7CF68B72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1C1EB159-176C-4BEE-BC38-3C704E0E35A3}">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B24AC784-49BD-47CB-ACF2-B1E305BB7DD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832</Words>
  <Characters>5179</Characters>
  <Application>Microsoft Office Word</Application>
  <DocSecurity>0</DocSecurity>
  <Lines>94</Lines>
  <Paragraphs>25</Paragraphs>
  <ScaleCrop>false</ScaleCrop>
  <Company/>
  <LinksUpToDate>false</LinksUpToDate>
  <CharactersWithSpaces>5986</CharactersWithSpaces>
  <SharedDoc>false</SharedDoc>
  <HLinks>
    <vt:vector size="48" baseType="variant">
      <vt:variant>
        <vt:i4>5308437</vt:i4>
      </vt:variant>
      <vt:variant>
        <vt:i4>18</vt:i4>
      </vt:variant>
      <vt:variant>
        <vt:i4>0</vt:i4>
      </vt:variant>
      <vt:variant>
        <vt:i4>5</vt:i4>
      </vt:variant>
      <vt:variant>
        <vt:lpwstr>http://www.carbontracker.org/</vt:lpwstr>
      </vt:variant>
      <vt:variant>
        <vt:lpwstr/>
      </vt:variant>
      <vt:variant>
        <vt:i4>131077</vt:i4>
      </vt:variant>
      <vt:variant>
        <vt:i4>15</vt:i4>
      </vt:variant>
      <vt:variant>
        <vt:i4>0</vt:i4>
      </vt:variant>
      <vt:variant>
        <vt:i4>5</vt:i4>
      </vt:variant>
      <vt:variant>
        <vt:lpwstr>https://carbontracker.org/resources/terms-list/</vt:lpwstr>
      </vt:variant>
      <vt:variant>
        <vt:lpwstr>stranded-assets</vt:lpwstr>
      </vt:variant>
      <vt:variant>
        <vt:i4>8192114</vt:i4>
      </vt:variant>
      <vt:variant>
        <vt:i4>12</vt:i4>
      </vt:variant>
      <vt:variant>
        <vt:i4>0</vt:i4>
      </vt:variant>
      <vt:variant>
        <vt:i4>5</vt:i4>
      </vt:variant>
      <vt:variant>
        <vt:lpwstr>https://carbontracker.org/resources/terms-list/</vt:lpwstr>
      </vt:variant>
      <vt:variant>
        <vt:lpwstr>unburnable-carbon</vt:lpwstr>
      </vt:variant>
      <vt:variant>
        <vt:i4>7340144</vt:i4>
      </vt:variant>
      <vt:variant>
        <vt:i4>9</vt:i4>
      </vt:variant>
      <vt:variant>
        <vt:i4>0</vt:i4>
      </vt:variant>
      <vt:variant>
        <vt:i4>5</vt:i4>
      </vt:variant>
      <vt:variant>
        <vt:lpwstr>https://carbontracker.org/resources/terms-list/</vt:lpwstr>
      </vt:variant>
      <vt:variant>
        <vt:lpwstr>carbon-bubble</vt:lpwstr>
      </vt:variant>
      <vt:variant>
        <vt:i4>4784129</vt:i4>
      </vt:variant>
      <vt:variant>
        <vt:i4>6</vt:i4>
      </vt:variant>
      <vt:variant>
        <vt:i4>0</vt:i4>
      </vt:variant>
      <vt:variant>
        <vt:i4>5</vt:i4>
      </vt:variant>
      <vt:variant>
        <vt:lpwstr>https://www.ifrs.org/news-and-events/news/2025/11/iasb-issues-illustrative-examples-reporting-uncertainties-financial-statements/</vt:lpwstr>
      </vt:variant>
      <vt:variant>
        <vt:lpwstr/>
      </vt:variant>
      <vt:variant>
        <vt:i4>4128780</vt:i4>
      </vt:variant>
      <vt:variant>
        <vt:i4>3</vt:i4>
      </vt:variant>
      <vt:variant>
        <vt:i4>0</vt:i4>
      </vt:variant>
      <vt:variant>
        <vt:i4>5</vt:i4>
      </vt:variant>
      <vt:variant>
        <vt:lpwstr>mailto:sally.palmer@tracker-group.org</vt:lpwstr>
      </vt:variant>
      <vt:variant>
        <vt:lpwstr/>
      </vt:variant>
      <vt:variant>
        <vt:i4>1310836</vt:i4>
      </vt:variant>
      <vt:variant>
        <vt:i4>0</vt:i4>
      </vt:variant>
      <vt:variant>
        <vt:i4>0</vt:i4>
      </vt:variant>
      <vt:variant>
        <vt:i4>5</vt:i4>
      </vt:variant>
      <vt:variant>
        <vt:lpwstr>mailto:nick.colwill@digacommunications.com</vt:lpwstr>
      </vt:variant>
      <vt:variant>
        <vt:lpwstr/>
      </vt:variant>
      <vt:variant>
        <vt:i4>3473463</vt:i4>
      </vt:variant>
      <vt:variant>
        <vt:i4>0</vt:i4>
      </vt:variant>
      <vt:variant>
        <vt:i4>0</vt:i4>
      </vt:variant>
      <vt:variant>
        <vt:i4>5</vt:i4>
      </vt:variant>
      <vt:variant>
        <vt:lpwstr>https://carbontracker.org/reports/overlooked-why-oil-and-gas-decommissioning-liabilities-pose-overlooked-financial-stability-risk/%23:~:text=Oil and gas decommissioning obligations are large.,be four times as large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Colwill</dc:creator>
  <cp:keywords/>
  <cp:lastModifiedBy>Sally Palmer</cp:lastModifiedBy>
  <cp:revision>2</cp:revision>
  <dcterms:created xsi:type="dcterms:W3CDTF">2025-12-17T09:20:00Z</dcterms:created>
  <dcterms:modified xsi:type="dcterms:W3CDTF">2025-12-17T09:20:00Z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0x0101006B72AAD74B61BE45BB1CD563C3A787E20700C3ABE43C178EE44EB7FD00021FD2E654</vt:lpwstr>
  </property>
</Properties>
</file>